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BK_G 024/04 vom 28. April 2004</w:t>
      </w:r>
    </w:p>
    <w:p>
      <w:r>
        <w:t>Bundesstrafgericht, 2004-04-28, IT</w:t>
      </w:r>
    </w:p>
    <w:p>
      <w:r>
        <w:rPr>
          <w:b/>
        </w:rPr>
        <w:t xml:space="preserve">Quelle: </w:t>
      </w:r>
      <w:r>
        <w:t>https://mcp.opencaselaw.ch/entscheid/bstger_BK_G 024_04</w:t>
      </w:r>
    </w:p>
    <w:p>
      <w:r>
        <w:t>FR: TPF BK_G 024/04 du 28 avril 2004</w:t>
      </w:r>
    </w:p>
    <w:p>
      <w:r>
        <w:t>IT: TPF BK_G 024/04 del 28 aprile 2004</w:t>
      </w:r>
    </w:p>
    <w:p>
      <w:pPr>
        <w:pStyle w:val="Heading2"/>
      </w:pPr>
      <w:r>
        <w:t>Regeste</w:t>
      </w:r>
    </w:p>
    <w:p>
      <w:r>
        <w:t>Contestazione sul foro (art. 347 CP) Istanza di attribuzione di competenza</w:t>
      </w:r>
    </w:p>
    <w:p>
      <w:pPr>
        <w:pStyle w:val="Heading2"/>
      </w:pPr>
      <w:r>
        <w:t>Erwägungen</w:t>
      </w:r>
    </w:p>
    <w:p>
      <w:r>
        <w:rPr>
          <w:b/>
        </w:rPr>
        <w:t>E. 1</w:t>
      </w:r>
    </w:p>
    <w:p>
      <w:r>
        <w:t>In seguito alla costituzione e all’entrata in vigore del Tribunale penale fede- rale, il 1° aprile 2004 la Corte dei reclami penali di questo tribunale ha ri- preso le cause pendenti presso la Camera d’accusa del Tribunale federale (v. art. 28 cpv. 1 lett. g e 33 cpv. 1 della Legge sul Tribunale penale federa- le del 4 ottobre 2002 - LTPF; RS 173.71).</w:t>
      </w:r>
    </w:p>
    <w:p>
      <w:r>
        <w:rPr>
          <w:b/>
        </w:rPr>
        <w:t>E. 2</w:t>
      </w:r>
    </w:p>
    <w:p>
      <w:r>
        <w:t>Ricevuta una denuncia, le autorità cantonali devono esaminare sommaria- mente e speditamente se il foro legale si trova sul loro territorio, raccoglien- do i principali elementi necessari per chiarire tale punto. Le norme di diritto federale concernenti la designazione del foro si applicano pure, senza ec- cezioni, alle infrazioni contro l’onore punibili esclusivamente a querela di parte (DTF 122 IV 250 consid. 3b). Qualora esista contestazione tra le au- torità di più cantoni sul foro competente, la Corte dei reclami penali del Tri- bunale penale federale designa il cantone in cui deve avere luogo il proce- dimento e il giudizio (art. 351 CP in relazione con l’art. 28 cpv. 1 lett. g LTPF).</w:t>
      </w:r>
    </w:p>
    <w:p>
      <w:r>
        <w:rPr>
          <w:b/>
        </w:rPr>
        <w:t>E. 3.1</w:t>
      </w:r>
    </w:p>
    <w:p>
      <w:r>
        <w:t>Giusta l’art. 347 cpv. 1 CP, in caso di reato in Svizzera giusta l’art. 27 CP (reati commessi mediante mass media) sono competenti le autorità del luogo in cui ha sede l’impresa del mezzo di comunicazione sociale. Se</w:t>
      </w:r>
    </w:p>
    <w:p>
      <w:r>
        <w:t>- 4 - l’autore dell’opera è noto e risiede in Svizzera, sono parimenti competenti le autorità del luogo di dimora. In quest’ultimo caso, il procedimento è at- tuato nel luogo in cui fu compiuto il primo atto di istruzione. In caso di reati perseguibili a querela di parte, il querelante può scegliere fra i due fori.</w:t>
      </w:r>
    </w:p>
    <w:p>
      <w:r>
        <w:t>Secondo il cpv. 2 del medesimo articolo, se non è dato alcun foro giusta il capoverso 1, sono invece competenti le autorità del luogo in cui l’opera è stata diffusa.</w:t>
      </w:r>
    </w:p>
    <w:p>
      <w:r>
        <w:rPr>
          <w:b/>
        </w:rPr>
        <w:t>E. 3.2</w:t>
      </w:r>
    </w:p>
    <w:p>
      <w:r>
        <w:t>In concreto è pacifico che i reati oggetto delle querele penali sono stati commessi mediante pubblicazione su mass-media ai sensi dell’art. 27 CP. Ora, secondo il nuovo testo dell’art. 347 CP entrato in vigore il 1° aprile 1998 (RU 1998 852/856), in simili evenienze sono innanzi tutto competenti le autorità del luogo in cui ha sede l’impresa del mezzo di comunicazione sociale; per le imprese iscritte a registro di commercio, fa stato questa i- scrizione (ERHARD SCHWERI/FELIX BÄNZIGER, Interkantonale Gerichts- standsbestimmung in Strafsachen, 2 ediz., Berna 2004, n. 180 e segg., pagg. 58-59 e n. 192, pag. 61). Essendo la società editrice de “______” la ditta zurighese Y.______, iscritta al registro di commercio di quel cantone, il foro zurighese non fa, in principio, dubbi (v. allegato all’istanza del 26 mar- zo 2004).</w:t>
      </w:r>
    </w:p>
    <w:p>
      <w:r>
        <w:t>D’altra parte, risulta inapplicabile la seconda frase dell’art. 347 cpv. 1 CP : se il nome dell’autore degli articoli in questione è in effetti noto, egli non ri- siede però in Svizzera, ma in Italia, a X._______ per la precisione. Quanto alle competenze delle autorità del luogo di stampa o di diffusione dei mezzi di comunicazione sociale – richiamate dall’autorità zurighesi nelle loro deci- sioni del 20 gennaio 2004 - sono state abolite con la modifica dell’art. 347 CP del 1° aprile 1998 (v. FF 1996 IV 494 §217).</w:t>
      </w:r>
    </w:p>
    <w:p>
      <w:r>
        <w:rPr>
          <w:b/>
        </w:rPr>
        <w:t>E. 3.3</w:t>
      </w:r>
    </w:p>
    <w:p>
      <w:r>
        <w:t>Nonostante le conclusioni del paragrafo precedente, ci si può chiedere se, per una questione di prossimità e di economia procedurale, non varrebbe comunque la pena mantenere l’istruzione e il giudizio dei presenti procedi- menti penali in Ticino. La sede della società editrice è, è vero, a Zurigo, ma tutto il resto (amministrazione, stampa, e pubblicazione del bimensile “______”,) si fa a Bellinzona; i tre querelanti sono ticinesi, mentre il querela- to abita nella vicina Italia. Essendo tutti gli interessati di lingua italiana, il trasferimento dei procedimenti a Zurigo li obbligherebbe a costose tradu- zioni di allegati e documentazione annessa e a lunghe trasferte in caso di udienze; anche per il tribunale di Zurigo si porrebbero dei problemi pratici in caso di udienze, quali, ad esempio, l’obbligo di traduzione simultanea</w:t>
      </w:r>
    </w:p>
    <w:p>
      <w:r>
        <w:t>- 5 - (sull’argomento della lingua e dell’economia procedurale in generale, v. SCHWERI/BÄNZIGER, op. cit., n. 467, pag. 157). Ne scende che, a titolo ec- cezionale e contrariamente a quanto prevede l’art. 347 cpv. 1 prima frase CP, in questo particolare caso si giustifica attribuire i procedimenti al Mini- stero pubblico del Canton Ticino.</w:t>
      </w:r>
    </w:p>
    <w:p>
      <w:r>
        <w:rPr>
          <w:b/>
        </w:rPr>
        <w:t>E. 4</w:t>
      </w:r>
    </w:p>
    <w:p>
      <w:r>
        <w:t>Alla luce delle precedenti considerazioni, l’istanza presentata dal Ministero pubblico ticinese deve esser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